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43" w:rsidRPr="00EE1300" w:rsidRDefault="000F1143" w:rsidP="000F1143">
      <w:pPr>
        <w:rPr>
          <w:rFonts w:ascii="PPYJU K+ Helvetica Neue" w:hAnsi="PPYJU K+ Helvetica Neue" w:cs="PPYJU K+ Helvetica Neue"/>
          <w:b/>
          <w:color w:val="000000"/>
          <w:sz w:val="22"/>
        </w:rPr>
      </w:pPr>
      <w:r w:rsidRPr="00EE1300">
        <w:rPr>
          <w:rFonts w:ascii="PPYJU K+ Helvetica Neue" w:hAnsi="PPYJU K+ Helvetica Neue" w:cs="PPYJU K+ Helvetica Neue"/>
          <w:b/>
          <w:color w:val="000000"/>
          <w:sz w:val="22"/>
        </w:rPr>
        <w:t>SECTION C – SPECIAL OLYMPICS TENNIS RATING SHEET</w:t>
      </w:r>
    </w:p>
    <w:p w:rsidR="000F1143" w:rsidRPr="0027700C" w:rsidRDefault="000F1143" w:rsidP="000F1143">
      <w:pPr>
        <w:rPr>
          <w:rFonts w:ascii="PPYJU K+ Helvetica Neue" w:hAnsi="PPYJU K+ Helvetica Neue" w:cs="PPYJU K+ Helvetica Neue"/>
          <w:color w:val="00000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  <w:gridCol w:w="2835"/>
        <w:gridCol w:w="2476"/>
      </w:tblGrid>
      <w:tr w:rsidR="000F1143" w:rsidRPr="00F15591" w:rsidTr="0068786A">
        <w:tc>
          <w:tcPr>
            <w:tcW w:w="4928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Athlete’</w:t>
            </w:r>
            <w:r>
              <w:rPr>
                <w:rFonts w:ascii="PPYJU K+ Helvetica Neue" w:hAnsi="PPYJU K+ Helvetica Neue" w:cs="PPYJU K+ Helvetica Neue"/>
                <w:color w:val="000000"/>
                <w:sz w:val="22"/>
              </w:rPr>
              <w:t xml:space="preserve">s Name: </w:t>
            </w: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____________________</w:t>
            </w:r>
          </w:p>
        </w:tc>
        <w:tc>
          <w:tcPr>
            <w:tcW w:w="5103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Delegation: ____________________</w:t>
            </w:r>
          </w:p>
        </w:tc>
        <w:tc>
          <w:tcPr>
            <w:tcW w:w="2835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Gender: __________</w:t>
            </w:r>
          </w:p>
        </w:tc>
        <w:tc>
          <w:tcPr>
            <w:tcW w:w="2476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Age: _____</w:t>
            </w:r>
          </w:p>
        </w:tc>
      </w:tr>
    </w:tbl>
    <w:p w:rsidR="000F1143" w:rsidRPr="00F15591" w:rsidRDefault="000F1143" w:rsidP="000F1143">
      <w:pPr>
        <w:rPr>
          <w:rFonts w:ascii="PPYJU K+ Helvetica Neue" w:hAnsi="PPYJU K+ Helvetica Neue" w:cs="PPYJU K+ Helvetica Neue"/>
          <w:color w:val="00000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899"/>
        <w:gridCol w:w="1227"/>
        <w:gridCol w:w="1984"/>
        <w:gridCol w:w="1276"/>
        <w:gridCol w:w="2268"/>
        <w:gridCol w:w="917"/>
      </w:tblGrid>
      <w:tr w:rsidR="000F1143" w:rsidTr="0068786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F15591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 1   (athlete’s at this level should complete the ISC Skills Testing)</w:t>
            </w:r>
          </w:p>
        </w:tc>
        <w:tc>
          <w:tcPr>
            <w:tcW w:w="8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F15591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E.   Second Serve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 w:rsidRPr="00C414F7">
              <w:rPr>
                <w:rFonts w:ascii="PPYJU K+ Helvetica Neue" w:hAnsi="PPYJU K+ Helvetica Neue" w:cs="PPYJU K+ Helvetica Neue"/>
                <w:color w:val="000000"/>
                <w:sz w:val="18"/>
              </w:rPr>
              <w:t>Player just starting to play tennis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Double faults are common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C414F7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Section A through G do not need to be completed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Pushes 2nd serves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C414F7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C414F7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Forehand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2nd serves with control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inconsistent weak FH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2nd serves with control and depth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FH shots with little directional control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bottom w:val="double" w:sz="4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2nd serves with spin, control and depth</w:t>
            </w:r>
          </w:p>
        </w:tc>
        <w:tc>
          <w:tcPr>
            <w:tcW w:w="917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FH has directional control of shots, but shots lack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6755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DE0C89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DE0C89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 xml:space="preserve">F.   Return of Serve </w:t>
            </w:r>
          </w:p>
        </w:tc>
        <w:tc>
          <w:tcPr>
            <w:tcW w:w="917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FH has sufficient control to sustain a short rally and is developing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Has difficulty returning serve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</w:tr>
      <w:tr w:rsidR="000F1143" w:rsidRPr="00F15591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with control and depth, but has difficulty when shots are high or hard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serve occasionally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consistently with depth, becomes inconsistent when adding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2nd serve consistently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Sustains an extended rally with direction, pace and depth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some 1st serves, returns 2nd serves consistently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DE0C89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DE0C89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Backhand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1st and 2nd serves consistently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inconsistent weak BH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Aggressive return of 2nd serve and consistent return of 1st serve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BH shots with little directional control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bottom w:val="double" w:sz="4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Aggressive return of 1st and 2nd serves</w:t>
            </w:r>
          </w:p>
        </w:tc>
        <w:tc>
          <w:tcPr>
            <w:tcW w:w="917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BH has directional control of shots, but shots lack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6755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DE0C89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DE0C89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G.   Volleys</w:t>
            </w:r>
          </w:p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BH has sufficient control to sustain a short rally and is developing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inconsistent volleys; avoids net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with control and depth, but has difficulty when shots are high or hard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consistent FH volleys; BH volley is inconsistent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consistently with depth, becomes inconsistent when adding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consistent volleys; has problems approaching the net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Sustains an extended rally with direction, pace and depth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Has ability to approach the net and hits consistent volleys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Movement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Comfortable moving to net, moves laterally well for both FH and BH volleys</w:t>
            </w:r>
          </w:p>
        </w:tc>
        <w:tc>
          <w:tcPr>
            <w:tcW w:w="9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pStyle w:val="ListParagraph"/>
              <w:ind w:left="0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Stationary position; does not move to ball to hit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67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aggressive FH and BH volleys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Moves only 1-2 steps toward ball to hit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Section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Category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31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Comments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Moves toward ball; but court coverage is poor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Forehand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Movement allows sufficient court coverage of most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B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Backhand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Has good court coverage, reacts well enough to sustain a short rally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C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Movement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Reacts quickly to the ball and has very good court coverage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D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First Serve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bookmarkStart w:id="0" w:name="_GoBack"/>
            <w:bookmarkEnd w:id="0"/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Exceptional court coverage, reacts quickly to the ball and recovers after each shot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Second Serve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First Serve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Return of Serve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1st serve is weak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G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Volleys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1st serves in at a slower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3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Total of Sections A thr</w:t>
            </w:r>
            <w: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o</w:t>
            </w: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u</w:t>
            </w:r>
            <w: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gh</w:t>
            </w: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 xml:space="preserve"> G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4A658D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1st serves with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1227" w:type="dxa"/>
            <w:tcBorders>
              <w:left w:val="single" w:sz="12" w:space="0" w:color="auto"/>
              <w:right w:val="nil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divided by 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0F1143" w:rsidRPr="004A658D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1st serves with pace and control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FINAL RATING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</w:tbl>
    <w:p w:rsidR="000F1143" w:rsidRPr="0027700C" w:rsidRDefault="000F1143" w:rsidP="000F1143">
      <w:pPr>
        <w:rPr>
          <w:rFonts w:ascii="PPYJU K+ Helvetica Neue" w:hAnsi="PPYJU K+ Helvetica Neue" w:cs="PPYJU K+ Helvetica Neue"/>
          <w:color w:val="00000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0414"/>
      </w:tblGrid>
      <w:tr w:rsidR="000F1143" w:rsidTr="0068786A">
        <w:tc>
          <w:tcPr>
            <w:tcW w:w="4928" w:type="dxa"/>
          </w:tcPr>
          <w:p w:rsidR="000F1143" w:rsidRPr="0027700C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  <w:szCs w:val="22"/>
              </w:rPr>
            </w:pPr>
            <w:r w:rsidRPr="0027700C">
              <w:rPr>
                <w:rFonts w:ascii="PPYJU K+ Helvetica Neue" w:hAnsi="PPYJU K+ Helvetica Neue" w:cs="PPYJU K+ Helvetica Neue"/>
                <w:color w:val="000000"/>
                <w:sz w:val="22"/>
                <w:szCs w:val="22"/>
              </w:rPr>
              <w:t>Rater’s Name: ____________________</w:t>
            </w:r>
          </w:p>
        </w:tc>
        <w:tc>
          <w:tcPr>
            <w:tcW w:w="10414" w:type="dxa"/>
          </w:tcPr>
          <w:p w:rsidR="000F1143" w:rsidRPr="0027700C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  <w:szCs w:val="22"/>
              </w:rPr>
            </w:pPr>
          </w:p>
        </w:tc>
      </w:tr>
    </w:tbl>
    <w:p w:rsidR="000F1143" w:rsidRPr="0027700C" w:rsidRDefault="000F1143" w:rsidP="000F1143">
      <w:pPr>
        <w:rPr>
          <w:rFonts w:ascii="PPYJU K+ Helvetica Neue" w:hAnsi="PPYJU K+ Helvetica Neue" w:cs="PPYJU K+ Helvetica Neue"/>
          <w:color w:val="00000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835"/>
        <w:gridCol w:w="5311"/>
      </w:tblGrid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Suggested Competition level for athletes</w:t>
            </w:r>
          </w:p>
        </w:tc>
        <w:tc>
          <w:tcPr>
            <w:tcW w:w="2693" w:type="dxa"/>
          </w:tcPr>
          <w:p w:rsidR="000F1143" w:rsidRPr="003D23BB" w:rsidRDefault="000F1143" w:rsidP="00A208A7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1.0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1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1 – Individual Skills Competition</w:t>
            </w:r>
          </w:p>
        </w:tc>
      </w:tr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143" w:rsidRPr="003D23BB" w:rsidRDefault="000F1143" w:rsidP="00A208A7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2.0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2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F1143" w:rsidRPr="003D23BB" w:rsidRDefault="000F1143" w:rsidP="0068786A">
            <w:pPr>
              <w:rPr>
                <w:b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2 – 42’ Court – Red foam ball</w:t>
            </w:r>
          </w:p>
        </w:tc>
      </w:tr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3.0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3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  <w:p w:rsidR="00050CCD" w:rsidRPr="003D23BB" w:rsidRDefault="00050CCD" w:rsidP="007F242C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4.0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7F242C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  <w:p w:rsidR="00050CCD" w:rsidRPr="003D23BB" w:rsidRDefault="00050CCD" w:rsidP="0068786A">
            <w:pPr>
              <w:rPr>
                <w:b/>
                <w:sz w:val="20"/>
                <w:szCs w:val="20"/>
              </w:rPr>
            </w:pP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3 – 60’ Court – Orange ball</w:t>
            </w:r>
          </w:p>
          <w:p w:rsidR="00050CCD" w:rsidRPr="003D23BB" w:rsidRDefault="00050CCD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4 – 78’ Court – Green ball</w:t>
            </w:r>
          </w:p>
        </w:tc>
      </w:tr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143" w:rsidRPr="003D23BB" w:rsidRDefault="000F1143" w:rsidP="00050CCD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</w:t>
            </w:r>
            <w:r w:rsidR="00050CCD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5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.0 – 8.0</w:t>
            </w:r>
          </w:p>
        </w:tc>
        <w:tc>
          <w:tcPr>
            <w:tcW w:w="2835" w:type="dxa"/>
          </w:tcPr>
          <w:p w:rsidR="000F1143" w:rsidRPr="003D23BB" w:rsidRDefault="000F1143" w:rsidP="0068786A">
            <w:pPr>
              <w:rPr>
                <w:b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Pr="003D23BB" w:rsidRDefault="000F1143" w:rsidP="00050CCD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Level </w:t>
            </w:r>
            <w:r w:rsidR="00050CCD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5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 – 78’ Court – Yellow ball </w:t>
            </w:r>
          </w:p>
        </w:tc>
      </w:tr>
    </w:tbl>
    <w:p w:rsidR="0055500F" w:rsidRDefault="0055500F"/>
    <w:sectPr w:rsidR="0055500F" w:rsidSect="000F1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PYJU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4073A"/>
    <w:multiLevelType w:val="hybridMultilevel"/>
    <w:tmpl w:val="848098D2"/>
    <w:lvl w:ilvl="0" w:tplc="B41076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3"/>
    <w:rsid w:val="00050CCD"/>
    <w:rsid w:val="000F1143"/>
    <w:rsid w:val="002E43EC"/>
    <w:rsid w:val="00455A41"/>
    <w:rsid w:val="0055500F"/>
    <w:rsid w:val="00672FC7"/>
    <w:rsid w:val="007F242C"/>
    <w:rsid w:val="00A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1E033-A7BB-4585-97B4-1D5EEE14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Greig</dc:creator>
  <cp:lastModifiedBy>Hayley Gross</cp:lastModifiedBy>
  <cp:revision>2</cp:revision>
  <dcterms:created xsi:type="dcterms:W3CDTF">2015-10-26T19:42:00Z</dcterms:created>
  <dcterms:modified xsi:type="dcterms:W3CDTF">2015-10-26T19:42:00Z</dcterms:modified>
</cp:coreProperties>
</file>